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93 vom 20. Januar 2026</w:t>
      </w:r>
    </w:p>
    <w:p>
      <w:r>
        <w:t>VS Kantonsgericht, 2026-01-20, FR</w:t>
      </w:r>
    </w:p>
    <w:p>
      <w:r>
        <w:rPr>
          <w:b/>
        </w:rPr>
        <w:t xml:space="preserve">Quelle: </w:t>
      </w:r>
      <w:r>
        <w:t>https://mcp.opencaselaw.ch/entscheid/vs_gerichte_S2 24 93</w:t>
      </w:r>
    </w:p>
    <w:p>
      <w:r>
        <w:t>FR: VS_GERICHTE S2 24 93 du 20 janvier 2026</w:t>
      </w:r>
    </w:p>
    <w:p>
      <w:r>
        <w:t>IT: VS_GERICHTE S2 24 93 del 20 gennaio 2026</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2 novembre 2024, le présent recours contre la décision sur opposition du 1er octobre précédent a été interjeté dans le délai légal de trente jours (art. 38 al. 3 et 60 LPGA), devant le tribunal compétent (art. 56, 57 et 58 LPGA ; art. 81a al. 1 de la loi cantonale du 6 octobre 1976 sur la procédure et la juridiction administrative [LPJA]). Il répond par ailleurs aux autres conditions formelles de recevabilité (art. 61 let. b LPGA), de sorte que la Cour doit entrer en matière.</w:t>
      </w:r>
    </w:p>
    <w:p>
      <w:r>
        <w:rPr>
          <w:b/>
        </w:rPr>
        <w:t>E. 2.1</w:t>
      </w:r>
    </w:p>
    <w:p>
      <w:r>
        <w:t>Le litige porte sur la prise en charge des troubles de l’oreille droite de la recourante, à la suite de la déclaration d’accident du 4 octobre 2023.</w:t>
      </w:r>
    </w:p>
    <w:p>
      <w:r>
        <w:rPr>
          <w:b/>
        </w:rPr>
        <w:t>E. 2.2</w:t>
      </w:r>
    </w:p>
    <w:p>
      <w:r>
        <w:t>Selon l'article 6 alinéa 1 LAA, les prestations d'assurance sont allouées en cas d'accident professionnel, d'accident non professionnel et de maladie professionnelle. Sauf disposition contraire, la maladie professionnelle est assimilée à un accident professionnel dès le jour où elle s’est déclarée. Elle est réputée déclarée dès que la personne atteinte doit se soumettre pour la première fois à un traitement médical ou est incapable de travailler (art. 6 LPGA ; art. 9 al. 3 LAA).</w:t>
      </w:r>
    </w:p>
    <w:p>
      <w:r>
        <w:rPr>
          <w:b/>
        </w:rPr>
        <w:t>E. 2.3</w:t>
      </w:r>
    </w:p>
    <w:p>
      <w:r>
        <w:t>La responsabilité de l'assureur-accidents s'étend, en principe, à toutes les conséquences dommageables qui se trouvent dans un rapport de causalité naturelle et adéquate avec l'événement assuré. L'exigence d'un lien de causalité naturelle est remplie lorsqu'il y a lieu d'admettre que, sans cet évènement accidentel, le dommage ne se serait pas produit du tout, ou qu'il ne</w:t>
      </w:r>
    </w:p>
    <w:p>
      <w:r>
        <w:t>- 6 -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avec les références). Les prestations d’assurance sont également allouées en cas de rechutes et de séquelles tardives (art. 11 OLAA). Les rechutes et les séquelles tardives ont ceci en commun qu’elles sont attribuables à une atteinte qui, en apparence seulement, mais non dans les faits, était considérée comme guérie. Il y a rechute lorsque 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Les rechutes et séquelles tardives ne peuvent faire naître une obligation pour l’assureur- accidents (initial) de verser des prestations que s’il existe un lien de causalité naturelle et adéquate entre les nouvelles plaintes de l’assuré et l’atteinte à la santé causée à l’époque par l’accident (ATF 118 V 293 consid. 2c et les références ; arrêt du Tribunal fédéral 8C_421/2018 du 28 août 2018 consid. 3). A cet égard, la jurisprudence considère que plus le temps écoulé entre l’accident et la manifestation de l’affection est long, plus les exigences quant à la preuve, au degré de la vraisemblance prépondérante, du rapport de causalité naturelle doivent être sévères (arrêts du Tribunal fédéral 8C_115/2019 du 20 novembre 2019 consid. 3 ; 8C_61/2016 du 19 décembre 2016 consid. 3.2 ; 8C_331/2015 du 21 août 2015 consid. 2.2.2). Le seul fait que des symptômes douloureux ne se sont manifestés qu'après la survenance d'un accident ne suffit pas à établir un rapport de causalité naturelle avec cet accident (raisonnement post hoc ergo propter hoc ; ATF 119 V 335 consid. 2b/bb ;</w:t>
      </w:r>
    </w:p>
    <w:p>
      <w:r>
        <w:t>- 7 - arrêt du Tribunal fédéral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arrêt du Tribunal fédéral 8C_169/2019 du 10 mars 2020 consid. 5.3).</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du 14 octobre 2011 consid. 3.3). En particulier, une expertise sera mise en œuvre lorsqu'il apparaît nécessaire de clarifier les aspects médicaux du cas (ATF 117 V 282).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w:t>
      </w:r>
    </w:p>
    <w:p>
      <w:r>
        <w:t>- 8 -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9C_55/2016 du 14 juillet 2016 consid. 3.2 et les références).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et 8C_46/2019 du 10 mai 2019 consid. 3.2.1).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 142 V 58 consid. 5.1 ; 135 V 465 consid. 4.6).</w:t>
      </w:r>
    </w:p>
    <w:p>
      <w:r>
        <w:t>- 9 -</w:t>
      </w:r>
    </w:p>
    <w:p>
      <w:r>
        <w:rPr>
          <w:b/>
        </w:rPr>
        <w:t>E. 3</w:t>
      </w:r>
    </w:p>
    <w:p>
      <w:r>
        <w:t>En l’espèce, la recourante a subi une première lésion de son tympan en 2019, lors d’une plongée sous-marine. A la suite de cet événement, elle a consulté un médecin ORL qui a constaté une déchirure du tympan qui s’est cicatrisée par la suite. Dans son rapport du 21 novembre 2023, le Dr C _________ a indiqué que l’étiologie des troubles de sa patiente était une rhinopharyngite et des antécédents d’accident de plongée en 2019. A la question « Participation d’un état antérieur ? », le spécialiste ORL a répondu : « Possible lien avec accident plongée et perforation tympan en 2019 ». Cette qualification a été reprise par le Dr D _________. Selon la jurisprudence, le lien de causalité entre un événement et les troubles d’un assuré doit être pouvoir qualifié de probable, et non pas simplement de possible (voir supra consid. 2.3 in fine). Tel n’est pas le cas en l’espèce, puisque tant le spécialiste ORL ayant traité la recourante que le médecin-conseil de l’assurance ont qualifié le lien de possible, et non pas de probable. Les critiques de la recourante sur la distinction possible/probable ne peuvent ainsi pas être prises en compte, au vu de caractère clair de la jurisprudence du Tribunal fédéral. En outre, à suivre son raisonnement, quel que soit le trouble d’un tympan endommagé par un premier accident, il devrait être à charge de l’assurance-accidents initiale compte tenu d’une éventuelle fragilisation due à un événement antérieur ; un tel argument ne saurait être retenu, dès lors qu’il est en contradiction avec la condition du lien de causalité nécessaire entre un événement accidentel et les troubles qui s’ensuivent. Au surplus, il convient de relever que la valeur probante de l’avis du Dr D _________ est entière. Ce dernier, nanti du dossier médical ORL complet de la recourante et de ses antécédents, est arrivé à des conclusions claires et cohérentes, superposables à celles du Dr C _________ qui avait jugé possible le lien de causalité. Faute de pièces médicales au dossier permettant de s’écarter des avis des Drs D _________ et C _________, leurs conclusions doivent être suivies. Au vu de ces développements, c’est à juste titre que l’intimée a refusé la prise en charge des troubles auriculaires de l’assurée survenus en septembre 2023. Le recours doit dès lors être rejeté et la décision sur opposition entreprise confirmée, sans qu’il y ait lieu de procéder à l’audition des Drs E _________ et C _________ ou de mettre en œuvre un examen clinique approfondi comme requis par la recourante. Il est ainsi rappelé que si l’administration ou le juge, se fondant sur une appréciation anticipée des preuves fournies par les investigations auxquelles ils doivent procéder d’office, sont convaincus que certains faits présentent un degré de vraisemblance prépondérante et que d’autres</w:t>
      </w:r>
    </w:p>
    <w:p>
      <w:r>
        <w:t>- 10 - mesures probatoires ne pourraient plus modifier cette appréciation, il est superflu d’administrer d’autres preuves (ATF 145 I 167 consid. 4.1). Enfin, on notera que si la décision sur opposition constate certes inexactement les faits relativement à la situation professionnelle de l’assurée, cette erreur est sans conséquences sur l’issue du litige.</w:t>
      </w:r>
    </w:p>
    <w:p>
      <w:r>
        <w:rPr>
          <w:b/>
        </w:rPr>
        <w:t>E. 4</w:t>
      </w:r>
    </w:p>
    <w:p>
      <w:r>
        <w:t>Il n’est pas perçu de frais (art. 61 let. fbis LPGA), la LAA ne prévoyant pas la perception de frais judiciaires, ni alloué de dépens à la recourante (art. 61 let. g a contrario LPGA) ou à l’intimée (art. 91 al. 3 LPJA ; ATF 126 V 143 consid. 4a)</w:t>
      </w:r>
    </w:p>
    <w:p>
      <w:r>
        <w:t>Prononce</w:t>
      </w:r>
    </w:p>
    <w:p>
      <w:r>
        <w:t>1. Le recours est rejeté. 2. Il n'est pas perçu de frais, ni alloué de dépens.</w:t>
      </w:r>
    </w:p>
    <w:p>
      <w:r>
        <w:t>Sion, le 20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